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3D" w:rsidRDefault="00266D2B" w:rsidP="00B75F3D">
      <w:pPr>
        <w:jc w:val="center"/>
        <w:rPr>
          <w:b/>
        </w:rPr>
      </w:pPr>
      <w:r>
        <w:rPr>
          <w:b/>
        </w:rPr>
        <w:t xml:space="preserve">ALLEGATO </w:t>
      </w:r>
      <w:r w:rsidR="00DA6A1C">
        <w:rPr>
          <w:b/>
        </w:rPr>
        <w:t>D</w:t>
      </w:r>
      <w:r w:rsidR="00B75F3D">
        <w:rPr>
          <w:b/>
        </w:rPr>
        <w:t xml:space="preserve"> – </w:t>
      </w:r>
      <w:r w:rsidR="00DA6A1C">
        <w:rPr>
          <w:b/>
        </w:rPr>
        <w:t>Tabella Valori</w:t>
      </w:r>
    </w:p>
    <w:p w:rsidR="00B75F3D" w:rsidRDefault="00B75F3D" w:rsidP="00B75F3D">
      <w:pPr>
        <w:jc w:val="center"/>
        <w:rPr>
          <w:b/>
        </w:rPr>
      </w:pPr>
    </w:p>
    <w:p w:rsidR="008D3D08" w:rsidRPr="002F50D8" w:rsidRDefault="002F50D8" w:rsidP="00DA6A1C">
      <w:pPr>
        <w:tabs>
          <w:tab w:val="left" w:pos="2860"/>
        </w:tabs>
        <w:spacing w:after="0" w:line="240" w:lineRule="auto"/>
        <w:jc w:val="center"/>
        <w:rPr>
          <w:vanish/>
          <w:specVanish/>
        </w:rPr>
      </w:pPr>
      <w:bookmarkStart w:id="0" w:name="_GoBack"/>
      <w:bookmarkEnd w:id="0"/>
      <w:r w:rsidRPr="002F50D8">
        <w:drawing>
          <wp:inline distT="0" distB="0" distL="0" distR="0">
            <wp:extent cx="3022600" cy="408813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40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1B8" w:rsidRPr="00AA71B8">
        <w:rPr>
          <w:rFonts w:cs="Arial"/>
          <w:b/>
          <w:color w:val="BAC300"/>
          <w:sz w:val="28"/>
          <w:szCs w:val="28"/>
        </w:rPr>
        <w:br/>
      </w:r>
    </w:p>
    <w:p w:rsidR="008D3D08" w:rsidRDefault="002F50D8" w:rsidP="008D3D08">
      <w:r>
        <w:t xml:space="preserve"> </w:t>
      </w:r>
    </w:p>
    <w:p w:rsidR="00884096" w:rsidRDefault="008D3D08" w:rsidP="008D3D08">
      <w:pPr>
        <w:tabs>
          <w:tab w:val="left" w:pos="1715"/>
        </w:tabs>
      </w:pPr>
      <w:r>
        <w:t>*il canone</w:t>
      </w:r>
      <w:r w:rsidR="001926AB">
        <w:t xml:space="preserve"> indicato</w:t>
      </w:r>
      <w:r>
        <w:t xml:space="preserve"> deve intendersi al netto dell’ IVA</w:t>
      </w:r>
      <w:r w:rsidR="001926AB">
        <w:t>, delle imposte eventualmente dovute, e delle spese condominiali.</w:t>
      </w:r>
    </w:p>
    <w:p w:rsidR="007820E5" w:rsidRDefault="007820E5" w:rsidP="008D3D08">
      <w:pPr>
        <w:tabs>
          <w:tab w:val="left" w:pos="1715"/>
        </w:tabs>
      </w:pPr>
      <w:r w:rsidRPr="007820E5">
        <w:t>*</w:t>
      </w:r>
      <w:r>
        <w:t>*</w:t>
      </w:r>
      <w:r w:rsidRPr="007820E5">
        <w:t xml:space="preserve"> agli inquilini oggetto dell'accordo, già residenti negli immobili della zona 3 (apparten</w:t>
      </w:r>
      <w:r w:rsidR="000D076C">
        <w:t>enti al Portafo</w:t>
      </w:r>
      <w:r w:rsidRPr="007820E5">
        <w:t>g</w:t>
      </w:r>
      <w:r w:rsidR="000D076C">
        <w:t>l</w:t>
      </w:r>
      <w:r w:rsidRPr="007820E5">
        <w:t>io Soci</w:t>
      </w:r>
      <w:r w:rsidR="000D076C">
        <w:t>a</w:t>
      </w:r>
      <w:r w:rsidR="00012B49">
        <w:t xml:space="preserve">l </w:t>
      </w:r>
      <w:proofErr w:type="spellStart"/>
      <w:r w:rsidR="00012B49">
        <w:t>Housing</w:t>
      </w:r>
      <w:proofErr w:type="spellEnd"/>
      <w:r w:rsidR="00012B49">
        <w:t>), l'adeguamento al C</w:t>
      </w:r>
      <w:r w:rsidRPr="007820E5">
        <w:t xml:space="preserve">anone </w:t>
      </w:r>
      <w:r w:rsidR="00012B49">
        <w:t>T</w:t>
      </w:r>
      <w:r w:rsidRPr="007820E5">
        <w:t>arget, laddove questo corrisponda ad un incremento superiore al 20% rispetto al canone attualmente corrisposto, avver</w:t>
      </w:r>
      <w:r w:rsidR="000D076C">
        <w:t>r</w:t>
      </w:r>
      <w:r w:rsidRPr="007820E5">
        <w:t xml:space="preserve">à in 3 anni con </w:t>
      </w:r>
      <w:r w:rsidR="000D076C">
        <w:t>quattro</w:t>
      </w:r>
      <w:r w:rsidRPr="007820E5">
        <w:t xml:space="preserve"> aumenti graduali identici tra loro, fino a raggiungere a decorrere dal 4° anno il Canone Target.</w:t>
      </w:r>
    </w:p>
    <w:p w:rsidR="007820E5" w:rsidRDefault="007820E5" w:rsidP="008D3D08">
      <w:pPr>
        <w:tabs>
          <w:tab w:val="left" w:pos="1715"/>
        </w:tabs>
      </w:pPr>
      <w:r>
        <w:t>A titolo esemplificativo:</w:t>
      </w:r>
    </w:p>
    <w:p w:rsidR="007820E5" w:rsidRDefault="007820E5" w:rsidP="008D3D08">
      <w:pPr>
        <w:tabs>
          <w:tab w:val="left" w:pos="1715"/>
        </w:tabs>
      </w:pPr>
      <w:r>
        <w:t>Canone Attuale: 50 Euro/mq/anno</w:t>
      </w:r>
    </w:p>
    <w:p w:rsidR="007820E5" w:rsidRDefault="007820E5" w:rsidP="008D3D08">
      <w:pPr>
        <w:tabs>
          <w:tab w:val="left" w:pos="1715"/>
        </w:tabs>
      </w:pPr>
      <w:r>
        <w:t>Canone Target: 87 Euro/mq/anno</w:t>
      </w:r>
    </w:p>
    <w:p w:rsidR="007820E5" w:rsidRPr="000D076C" w:rsidRDefault="007820E5" w:rsidP="000D076C">
      <w:pPr>
        <w:tabs>
          <w:tab w:val="left" w:pos="1715"/>
        </w:tabs>
        <w:ind w:left="708"/>
        <w:rPr>
          <w:sz w:val="20"/>
          <w:szCs w:val="20"/>
        </w:rPr>
      </w:pPr>
      <w:r w:rsidRPr="000D076C">
        <w:rPr>
          <w:sz w:val="20"/>
          <w:szCs w:val="20"/>
        </w:rPr>
        <w:t>Canone 1</w:t>
      </w:r>
      <w:r w:rsidR="000D076C">
        <w:rPr>
          <w:sz w:val="20"/>
          <w:szCs w:val="20"/>
        </w:rPr>
        <w:t>°</w:t>
      </w:r>
      <w:r w:rsidRPr="000D076C">
        <w:rPr>
          <w:sz w:val="20"/>
          <w:szCs w:val="20"/>
        </w:rPr>
        <w:t xml:space="preserve"> anno: </w:t>
      </w:r>
      <w:r w:rsidR="000D076C">
        <w:rPr>
          <w:sz w:val="20"/>
          <w:szCs w:val="20"/>
        </w:rPr>
        <w:t>59</w:t>
      </w:r>
      <w:r w:rsidRPr="000D076C">
        <w:rPr>
          <w:sz w:val="20"/>
          <w:szCs w:val="20"/>
        </w:rPr>
        <w:t>,</w:t>
      </w:r>
      <w:r w:rsidR="000D076C">
        <w:rPr>
          <w:sz w:val="20"/>
          <w:szCs w:val="20"/>
        </w:rPr>
        <w:t>25</w:t>
      </w:r>
      <w:r w:rsidRPr="000D076C">
        <w:rPr>
          <w:sz w:val="20"/>
          <w:szCs w:val="20"/>
        </w:rPr>
        <w:t xml:space="preserve"> Euro/mq/anno</w:t>
      </w:r>
    </w:p>
    <w:p w:rsidR="007820E5" w:rsidRPr="000D076C" w:rsidRDefault="007820E5" w:rsidP="000D076C">
      <w:pPr>
        <w:tabs>
          <w:tab w:val="left" w:pos="1715"/>
        </w:tabs>
        <w:ind w:left="708"/>
        <w:rPr>
          <w:sz w:val="20"/>
          <w:szCs w:val="20"/>
        </w:rPr>
      </w:pPr>
      <w:r w:rsidRPr="000D076C">
        <w:rPr>
          <w:sz w:val="20"/>
          <w:szCs w:val="20"/>
        </w:rPr>
        <w:t>Canone 2</w:t>
      </w:r>
      <w:r w:rsidR="000D076C">
        <w:rPr>
          <w:sz w:val="20"/>
          <w:szCs w:val="20"/>
        </w:rPr>
        <w:t>°</w:t>
      </w:r>
      <w:r w:rsidRPr="000D076C">
        <w:rPr>
          <w:sz w:val="20"/>
          <w:szCs w:val="20"/>
        </w:rPr>
        <w:t xml:space="preserve"> anno: </w:t>
      </w:r>
      <w:r w:rsidR="000D076C">
        <w:rPr>
          <w:sz w:val="20"/>
          <w:szCs w:val="20"/>
        </w:rPr>
        <w:t>68,5</w:t>
      </w:r>
      <w:r w:rsidRPr="000D076C">
        <w:rPr>
          <w:sz w:val="20"/>
          <w:szCs w:val="20"/>
        </w:rPr>
        <w:t xml:space="preserve"> Euro/mq/anno</w:t>
      </w:r>
    </w:p>
    <w:p w:rsidR="007820E5" w:rsidRPr="000D076C" w:rsidRDefault="007820E5" w:rsidP="000D076C">
      <w:pPr>
        <w:tabs>
          <w:tab w:val="left" w:pos="1715"/>
        </w:tabs>
        <w:ind w:left="708"/>
        <w:rPr>
          <w:sz w:val="20"/>
          <w:szCs w:val="20"/>
        </w:rPr>
      </w:pPr>
      <w:r w:rsidRPr="000D076C">
        <w:rPr>
          <w:sz w:val="20"/>
          <w:szCs w:val="20"/>
        </w:rPr>
        <w:t>Canone 3</w:t>
      </w:r>
      <w:r w:rsidR="000D076C">
        <w:rPr>
          <w:sz w:val="20"/>
          <w:szCs w:val="20"/>
        </w:rPr>
        <w:t>°</w:t>
      </w:r>
      <w:r w:rsidRPr="000D076C">
        <w:rPr>
          <w:sz w:val="20"/>
          <w:szCs w:val="20"/>
        </w:rPr>
        <w:t xml:space="preserve"> anno: </w:t>
      </w:r>
      <w:r w:rsidR="000D076C">
        <w:rPr>
          <w:sz w:val="20"/>
          <w:szCs w:val="20"/>
        </w:rPr>
        <w:t>77</w:t>
      </w:r>
      <w:r w:rsidRPr="000D076C">
        <w:rPr>
          <w:sz w:val="20"/>
          <w:szCs w:val="20"/>
        </w:rPr>
        <w:t>,</w:t>
      </w:r>
      <w:r w:rsidR="000D076C">
        <w:rPr>
          <w:sz w:val="20"/>
          <w:szCs w:val="20"/>
        </w:rPr>
        <w:t>75</w:t>
      </w:r>
      <w:r w:rsidRPr="000D076C">
        <w:rPr>
          <w:sz w:val="20"/>
          <w:szCs w:val="20"/>
        </w:rPr>
        <w:t xml:space="preserve"> Euro/mq/anno</w:t>
      </w:r>
    </w:p>
    <w:p w:rsidR="000D076C" w:rsidRPr="000D076C" w:rsidRDefault="000D076C" w:rsidP="000D076C">
      <w:pPr>
        <w:tabs>
          <w:tab w:val="left" w:pos="1715"/>
        </w:tabs>
        <w:ind w:left="708"/>
        <w:rPr>
          <w:sz w:val="20"/>
          <w:szCs w:val="20"/>
        </w:rPr>
      </w:pPr>
      <w:r w:rsidRPr="000D076C">
        <w:rPr>
          <w:sz w:val="20"/>
          <w:szCs w:val="20"/>
        </w:rPr>
        <w:t xml:space="preserve">Canone </w:t>
      </w:r>
      <w:r>
        <w:rPr>
          <w:sz w:val="20"/>
          <w:szCs w:val="20"/>
        </w:rPr>
        <w:t>dall’inizio del 4°</w:t>
      </w:r>
      <w:r w:rsidRPr="000D076C">
        <w:rPr>
          <w:sz w:val="20"/>
          <w:szCs w:val="20"/>
        </w:rPr>
        <w:t xml:space="preserve"> anno: </w:t>
      </w:r>
      <w:r>
        <w:rPr>
          <w:sz w:val="20"/>
          <w:szCs w:val="20"/>
        </w:rPr>
        <w:t>87</w:t>
      </w:r>
      <w:r w:rsidRPr="000D076C">
        <w:rPr>
          <w:sz w:val="20"/>
          <w:szCs w:val="20"/>
        </w:rPr>
        <w:t>,</w:t>
      </w:r>
      <w:r>
        <w:rPr>
          <w:sz w:val="20"/>
          <w:szCs w:val="20"/>
        </w:rPr>
        <w:t>00</w:t>
      </w:r>
      <w:r w:rsidRPr="000D076C">
        <w:rPr>
          <w:sz w:val="20"/>
          <w:szCs w:val="20"/>
        </w:rPr>
        <w:t xml:space="preserve"> Euro/mq/anno</w:t>
      </w:r>
    </w:p>
    <w:p w:rsidR="007820E5" w:rsidRPr="008D3D08" w:rsidRDefault="007820E5" w:rsidP="008D3D08">
      <w:pPr>
        <w:tabs>
          <w:tab w:val="left" w:pos="1715"/>
        </w:tabs>
      </w:pPr>
    </w:p>
    <w:sectPr w:rsidR="007820E5" w:rsidRPr="008D3D08" w:rsidSect="00B75F3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3D"/>
    <w:rsid w:val="00012B49"/>
    <w:rsid w:val="000D076C"/>
    <w:rsid w:val="001926AB"/>
    <w:rsid w:val="00266D2B"/>
    <w:rsid w:val="002F50D8"/>
    <w:rsid w:val="004C63A2"/>
    <w:rsid w:val="006E5A4E"/>
    <w:rsid w:val="007820E5"/>
    <w:rsid w:val="00797503"/>
    <w:rsid w:val="008D3D08"/>
    <w:rsid w:val="00911E10"/>
    <w:rsid w:val="00AA71B8"/>
    <w:rsid w:val="00B75F3D"/>
    <w:rsid w:val="00D41C33"/>
    <w:rsid w:val="00D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Carniti</dc:creator>
  <cp:lastModifiedBy>Cesare Carniti</cp:lastModifiedBy>
  <cp:revision>10</cp:revision>
  <dcterms:created xsi:type="dcterms:W3CDTF">2016-06-23T10:36:00Z</dcterms:created>
  <dcterms:modified xsi:type="dcterms:W3CDTF">2017-03-20T17:21:00Z</dcterms:modified>
</cp:coreProperties>
</file>